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Nota Nº         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1C074B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06 de </w:t>
      </w:r>
      <w:r w:rsidR="00B941EC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Junio 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2022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1C074B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Lic.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Gilda RASCLARD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.</w:t>
      </w: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  <w:t>S                    /               D.</w:t>
      </w: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    </w:t>
      </w:r>
    </w:p>
    <w:p w:rsidR="00876A5E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Me dirijo a Ud. a los efectos de remitirle listado de Asuntos Pendientes de la comisión Nº 2, al  </w:t>
      </w:r>
      <w:r w:rsidR="007B2CBA" w:rsidRPr="001C074B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>Junio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0604D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Mayo no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realizó reunión en 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comisión </w:t>
      </w:r>
    </w:p>
    <w:p w:rsidR="00876A5E" w:rsidRPr="001C074B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P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941EC" w:rsidRDefault="00B941EC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060/21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en el ámbito de la Provincia el “Plan de Protección Integral a pacientes oncológicos </w:t>
      </w:r>
      <w:proofErr w:type="spellStart"/>
      <w:r w:rsidRPr="001C074B">
        <w:rPr>
          <w:rFonts w:ascii="Arial" w:hAnsi="Arial" w:cs="Arial"/>
          <w:sz w:val="24"/>
          <w:szCs w:val="24"/>
          <w:lang w:eastAsia="ar-SA"/>
        </w:rPr>
        <w:t>infanto</w:t>
      </w:r>
      <w:proofErr w:type="spellEnd"/>
      <w:r w:rsidRPr="001C074B">
        <w:rPr>
          <w:rFonts w:ascii="Arial" w:hAnsi="Arial" w:cs="Arial"/>
          <w:sz w:val="24"/>
          <w:szCs w:val="24"/>
          <w:lang w:eastAsia="ar-SA"/>
        </w:rPr>
        <w:t xml:space="preserve"> – juveniles”.</w:t>
      </w:r>
    </w:p>
    <w:p w:rsidR="00C95CB8" w:rsidRPr="001C074B" w:rsidRDefault="00C95CB8" w:rsidP="00C95CB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</w:t>
      </w:r>
      <w:r w:rsidRPr="001C074B">
        <w:rPr>
          <w:rFonts w:ascii="Arial" w:hAnsi="Arial" w:cs="Arial"/>
          <w:lang w:eastAsia="ar-SA"/>
        </w:rPr>
        <w:lastRenderedPageBreak/>
        <w:t>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color w:val="auto"/>
          <w:lang w:val="es-ES"/>
        </w:rPr>
        <w:t xml:space="preserve">227/21 </w:t>
      </w:r>
      <w:r w:rsidRPr="001C074B">
        <w:rPr>
          <w:rFonts w:ascii="Arial" w:hAnsi="Arial" w:cs="Arial"/>
          <w:b/>
          <w:lang w:eastAsia="ar-SA"/>
        </w:rPr>
        <w:t xml:space="preserve">BLOQUES M.P.F. y FORJA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de ley provincial de Régimen diferenciado de previsión social del personal docente de la Provincia.</w:t>
      </w:r>
    </w:p>
    <w:p w:rsidR="00F3164C" w:rsidRPr="001C074B" w:rsidRDefault="00DF761E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Com. 1 </w:t>
      </w:r>
      <w:r w:rsidR="00F3164C" w:rsidRPr="001C074B">
        <w:rPr>
          <w:rFonts w:ascii="Arial" w:eastAsia="Calibri" w:hAnsi="Arial" w:cs="Arial"/>
          <w:b/>
          <w:sz w:val="24"/>
          <w:szCs w:val="24"/>
          <w:lang w:val="es-ES"/>
        </w:rPr>
        <w:t>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313/21 PODER JUDICIAL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Presupuesto de Recursos y Gastos  del Poder Judicial para el ejercicio 2022 y modificando la Ley Provincial N° 162 (Tasas Judiciales).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522/21 BLOQUES U.C.R.; F.D.T-P.J.-; JUSTICIALISTA </w:t>
      </w:r>
      <w:r w:rsidR="007E10A2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PROVINCIAL;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FORJA; PARTIDO VERDE Y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Jubilaciones y Pensiones para el Personal de los tres poderes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077/22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s/creación de Terra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Ignis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S.A.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3,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110/22 P.E.P. Mensaje N° 03/22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eximiendo del pago de impuestos previstos en el Código Fiscal al Fideicomiso de Administración para el Desarrollo Austral.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112/22 P.E.P. Mensaje N° 05/22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declarando </w:t>
      </w:r>
      <w:bookmarkStart w:id="0" w:name="_GoBack"/>
      <w:bookmarkEnd w:id="0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3341D4" w:rsidRPr="001C074B" w:rsidRDefault="006D0C7D" w:rsidP="00804DFC">
      <w:pPr>
        <w:spacing w:after="0"/>
        <w:jc w:val="right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06 de </w:t>
      </w:r>
      <w:r w:rsidR="00B941E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Junio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BF0F2D" w:rsidRPr="007A233C" w:rsidRDefault="00142C70" w:rsidP="007A233C">
      <w:pPr>
        <w:spacing w:after="0"/>
        <w:rPr>
          <w:rFonts w:ascii="Arial" w:eastAsia="Calibri" w:hAnsi="Arial" w:cs="Arial"/>
          <w:b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14" w:rsidRDefault="00A51B14" w:rsidP="00BA78FC">
      <w:pPr>
        <w:spacing w:after="0" w:line="240" w:lineRule="auto"/>
      </w:pPr>
      <w:r>
        <w:separator/>
      </w:r>
    </w:p>
  </w:endnote>
  <w:endnote w:type="continuationSeparator" w:id="0">
    <w:p w:rsidR="00A51B14" w:rsidRDefault="00A51B14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EndPr/>
    <w:sdtContent>
      <w:p w:rsidR="006D0C7D" w:rsidRDefault="006D0C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EC" w:rsidRPr="00B941EC">
          <w:rPr>
            <w:noProof/>
            <w:lang w:val="es-ES"/>
          </w:rPr>
          <w:t>7</w:t>
        </w:r>
        <w:r>
          <w:fldChar w:fldCharType="end"/>
        </w:r>
      </w:p>
    </w:sdtContent>
  </w:sdt>
  <w:p w:rsidR="006D0C7D" w:rsidRDefault="006D0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14" w:rsidRDefault="00A51B14" w:rsidP="00BA78FC">
      <w:pPr>
        <w:spacing w:after="0" w:line="240" w:lineRule="auto"/>
      </w:pPr>
      <w:r>
        <w:separator/>
      </w:r>
    </w:p>
  </w:footnote>
  <w:footnote w:type="continuationSeparator" w:id="0">
    <w:p w:rsidR="00A51B14" w:rsidRDefault="00A51B14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451E4"/>
    <w:rsid w:val="0007027D"/>
    <w:rsid w:val="000F706C"/>
    <w:rsid w:val="001010CE"/>
    <w:rsid w:val="00142C70"/>
    <w:rsid w:val="0017481F"/>
    <w:rsid w:val="001C074B"/>
    <w:rsid w:val="001E4D79"/>
    <w:rsid w:val="002A5A37"/>
    <w:rsid w:val="002D7A4A"/>
    <w:rsid w:val="002E038A"/>
    <w:rsid w:val="003341D4"/>
    <w:rsid w:val="00343513"/>
    <w:rsid w:val="00343CB5"/>
    <w:rsid w:val="003478B5"/>
    <w:rsid w:val="004228DD"/>
    <w:rsid w:val="004231BD"/>
    <w:rsid w:val="004C1D70"/>
    <w:rsid w:val="004C5AED"/>
    <w:rsid w:val="004D5898"/>
    <w:rsid w:val="00510E31"/>
    <w:rsid w:val="005536B3"/>
    <w:rsid w:val="0056709C"/>
    <w:rsid w:val="00580E72"/>
    <w:rsid w:val="005D113E"/>
    <w:rsid w:val="006027D6"/>
    <w:rsid w:val="006B09D6"/>
    <w:rsid w:val="006C1E6E"/>
    <w:rsid w:val="006D0C7D"/>
    <w:rsid w:val="007A233C"/>
    <w:rsid w:val="007B2CBA"/>
    <w:rsid w:val="007D7299"/>
    <w:rsid w:val="007E10A2"/>
    <w:rsid w:val="00804DFC"/>
    <w:rsid w:val="008510E1"/>
    <w:rsid w:val="00876A5E"/>
    <w:rsid w:val="00887521"/>
    <w:rsid w:val="009B76E3"/>
    <w:rsid w:val="009C36C1"/>
    <w:rsid w:val="00A51B14"/>
    <w:rsid w:val="00A531FE"/>
    <w:rsid w:val="00A93EBA"/>
    <w:rsid w:val="00AA7420"/>
    <w:rsid w:val="00AC1A9D"/>
    <w:rsid w:val="00AC6228"/>
    <w:rsid w:val="00AD2117"/>
    <w:rsid w:val="00AD22F0"/>
    <w:rsid w:val="00AE7A3C"/>
    <w:rsid w:val="00B0604D"/>
    <w:rsid w:val="00B355E0"/>
    <w:rsid w:val="00B5021E"/>
    <w:rsid w:val="00B941EC"/>
    <w:rsid w:val="00BA78FC"/>
    <w:rsid w:val="00BC0325"/>
    <w:rsid w:val="00BD2A5F"/>
    <w:rsid w:val="00BF0F2D"/>
    <w:rsid w:val="00C130B4"/>
    <w:rsid w:val="00C55A9D"/>
    <w:rsid w:val="00C83BDE"/>
    <w:rsid w:val="00C95CB8"/>
    <w:rsid w:val="00CB7D16"/>
    <w:rsid w:val="00D53548"/>
    <w:rsid w:val="00D62188"/>
    <w:rsid w:val="00DB5AF9"/>
    <w:rsid w:val="00DC3908"/>
    <w:rsid w:val="00DF761E"/>
    <w:rsid w:val="00E72B08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FF07-9E07-4C39-AE58-12D25F75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1389</Words>
  <Characters>7642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Jorge Oscar Brua</cp:lastModifiedBy>
  <cp:revision>5</cp:revision>
  <cp:lastPrinted>2022-06-06T13:44:00Z</cp:lastPrinted>
  <dcterms:created xsi:type="dcterms:W3CDTF">2022-05-06T12:35:00Z</dcterms:created>
  <dcterms:modified xsi:type="dcterms:W3CDTF">2022-06-06T13:49:00Z</dcterms:modified>
</cp:coreProperties>
</file>